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[1]a b Sertima, Ivan Van (1992), The Golden Age of the Moor, Transaction Publishers, p. 17, ISBN 1560005815. 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[2]Naven kurdi.Kurdishe namen.Kurt isimleri. Osnabruck, Germany, 1992. S.399.  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[3]NK, 400.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[4]NK, 400.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[5]NK, 398.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[6]Naven kurdi.Kurdishe namen.Kurt isimleri. Osnabruck, Germany, 1992. S.402.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[7] Курдове К.К,, З.А. Юсупова. Курдско–русский словарь (сорани), с.658.  Москва, 1983 г.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[8](«Курдянка Нафи»)http://www.liveinternet.ru/tags/%F2%E1%E8%EB%E8%F1%E8/page4.html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[9]Naven kurdi.Kurdishe namen.Kurt isimleri. Osnabruck, Germany, 1992. S.341.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[10]Адила Маммадова. Бюльбюль. С. 11. Баку, Азернешр, 1967 (на азерб.яз.).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[11]Ruiz, Ana (1960). Vibrant Andalusia: the spice of life in southern Spain.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Ana Ruiz, page 53, Vibrant Andalusia: Moorish Culture in Southern Spain, Published 2007, Algora Publishing, ISBN 0875865399;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Roden, laudia Roden. The book of Jewish food: an odyssey from Samarkand to New York. An Iraqi Kurdish musician called Ziryab, a refugee from the court of Harun al-Rashid in Baghdad, who was introduced to the court of Cordoba by a Jewish musician;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CULTURA | Flamenco y música kurda: un tronco común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http://mundo-edicion-online.vlex.es/vid/flamenco-musica-kurda-tronco-comun-16896716;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Mónica Cello,"Los kurdos", Esc. de Estudios Orientales, Univ. del Salvador. (på spanska). Läst 22 februari 2012.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La Gastronomía En Al-Andalus: Islam Y Al-Andalus.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http://www.dipucadiz.es/Portada/cultura/dosorillas.pdf.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La Orden Sufi Nematollahi / SufismoA Literary History of the Arabs. Reynold Alleyne Nicholson. p.418;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Kassel, Bärenreiter (1979). The World of music, Band 21;Band 21,Ausgabe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Titus Burckhardt, «Die Maurische Kultur in Spanien». Publisher, G.D.W. Callwey, 1970. ISBN, 3766700197, 9783766700193. Length, 225 pages.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C.E.R.A.P (Centre d'étude et de réflexion pour l'action politique). Le Banquet, Ausgabe 24. 2007.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Zaryâb. A genius Iranian musician. Wednesday 4 June 2003, by G. TALEBZADEH http://www.fravahr.org/spip.php?article118;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Kurdish Musicians: Kurdish Singers, Ziryab, Zakaria Abdulla, Muhamad Salih Dilan, Chopy Fatah, Ahmet Kaya, Brahim Tatl Ses, Ardavan Kamkar.Books Group Staff, Books, LLC, Books Group General Books, 2010. ISBN 1156515459, 9781156515457;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[12]Zaryâb. A genius Iranian musician. Wednesday 4 June 2003, by G. TALEBZADEH. http://www.fravahr.org/spip.php?article118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[13]Подробно о Бувейхиды см. «Курдское государство Бувейхиды(Буиды)».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 http://www.kurdist.ru/index.php?option=com_content&amp;task=view&amp;id=173&amp;Itemid=1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[14]</w:t>
      </w:r>
      <w:r w:rsidDel="00000000" w:rsidR="00000000" w:rsidRPr="00000000">
        <w:rPr>
          <w:rtl w:val="0"/>
        </w:rPr>
        <w:t xml:space="preserve">Нисба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tl w:val="0"/>
        </w:rPr>
        <w:t xml:space="preserve">араб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1"/>
        </w:rPr>
        <w:t xml:space="preserve">نسبة</w:t>
      </w:r>
      <w:r w:rsidDel="00000000" w:rsidR="00000000" w:rsidRPr="00000000">
        <w:rPr>
          <w:rtl w:val="0"/>
        </w:rPr>
        <w:t xml:space="preserve"> — </w:t>
      </w:r>
      <w:r w:rsidDel="00000000" w:rsidR="00000000" w:rsidRPr="00000000">
        <w:rPr>
          <w:rtl w:val="0"/>
        </w:rPr>
        <w:t xml:space="preserve">отношение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связь</w:t>
      </w:r>
      <w:r w:rsidDel="00000000" w:rsidR="00000000" w:rsidRPr="00000000">
        <w:rPr>
          <w:rtl w:val="0"/>
        </w:rPr>
        <w:t xml:space="preserve">) —  </w:t>
      </w:r>
      <w:r w:rsidDel="00000000" w:rsidR="00000000" w:rsidRPr="00000000">
        <w:rPr>
          <w:rtl w:val="0"/>
        </w:rPr>
        <w:t xml:space="preserve">часть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арабского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tl w:val="0"/>
        </w:rPr>
        <w:t xml:space="preserve">мусульманского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имени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обозначающее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этническую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религиозную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политическую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социальную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принадлежность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человека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место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его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рождения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или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проживания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так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далее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  <w:t xml:space="preserve">[15]Об этом подробно см. в статье «Поход десяти тысяч. Кардухи».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  <w:t xml:space="preserve"> http://www.kurdist.ru/index.php?option=com_content&amp;task=view&amp;id=23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  <w:t xml:space="preserve">[16]Династия Аббасидов (араб. аббасийун) (750–1258) – вторая династия арабских халифов. Название династии происходит от имени дяди пророка аль-Аббаса.  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  <w:t xml:space="preserve">[17]Арабский уд – исторический предшественник европейской. лютни.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  <w:t xml:space="preserve">http://guitarists.ru/index.php?option=com_content&amp;task=blogcategory&amp;id=37&amp;Itemid=77.</w:t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  <w:t xml:space="preserve">[18]Naven kurdi.Kurdishe namen.Kurt isimleri. Osnabruck, Germany, 1992. S.395.  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  <w:t xml:space="preserve">[19]Курдове К.К,, З.А. Юсупова. Курдско-русский словарь (сорани), с.341.  Москва, 1983 г.</w:t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  <w:t xml:space="preserve">[20]Кай-Кубад — основоположник и первый государь мифической иранской династии Кайанидов.</w:t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  <w:t xml:space="preserve">[21]Основатель — наместник аббасидского халифа Харун ар Рашида Ибрахим ибн аль-Аглаб (правил в 800—812 гг.). Аглабиды создали фактически независимый, но признаавший сюзеренитет  Аббасидов эмират со столицей в Кайруане. </w:t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  <w:t xml:space="preserve">[22]Фирдоуси Абулькасим. «Шах-наме» («Книга царей»). Сказ о Барбеде-певце и царе Хосрове Парвизе. Том 6. C.481. От начала царствования Йездгерда, сына Бахрама Гура, до конца книги. Перевод Ц.Б.Бану-Лахути и В.Г.Берзнева. М.: Наука, 1989. – Литературные памятники.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  <w:t xml:space="preserve">[23]Виноградов В. Классические традиции иранской музыки, с. 23-31. М., 1982.</w:t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  <w:t xml:space="preserve">[24]Базанджан, Базикан – название курдского племени.  </w:t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  <w:t xml:space="preserve">[25]Фарсах — мера, длинны равная 5760 м.</w:t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  <w:t xml:space="preserve">[26]Ибн Хордадбех. Книга путей и стран. Китаб ал-масалик ва-л-мамалик. $28. Ибн Хордадбех. Книга путей и стран. М. 1986.</w:t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  <w:t xml:space="preserve">[27]NK, s. 277. Курды часто некоторые мужские и женские имена при произношении в ласкательной форме сокращают и вместо нескольких букв в конце заменяя буквой «о» и «е». К примеру, Ханымзар – Хано(е); Гулизар – Гуле; Фарзанда – Фарзо и пр.</w:t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  <w:t xml:space="preserve">[28]by G. TALEBZADEH. Zaryâb. A genius Iranian musician. http://www.fravahr.org/spip.php?article118.</w:t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  <w:t xml:space="preserve">[29]Звук в барбет-уде извлекался смычком, плектром (деревянная, костяная, пластмассовая или металлическая пластинка, гусиное перо или кольцо с «когтем», надеваемое на палец (мизраб),  или с использованием пальцевой техники. </w:t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  <w:t xml:space="preserve">[30]Eckhard Neubauer, «Der Bau der Laute und ihre Besaitung nach arabischen, persischen und türkischen Quellen des 9. bis 15. Jahrhunderts», Zeitschrift für Geschichte der arabisch-islamischen Wissenschaften, vol. 8 (1993(sad) 279—378.</w:t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  <w:t xml:space="preserve">[31]Gianfranco Lotti, «Dizionario Degli Insulti», A. Mondadori, 1990. ISBN 88-04-33145-3</w:t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  <w:t xml:space="preserve">[32] a b Salma Khadra Jayyusi and Manuela Marin (1994), The Legacy of Muslim Spain, p. 117, Brill Publishers, ISBN 9004095993</w:t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  <w:t xml:space="preserve">[33]  a b c d Andalusian Feast</w:t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  <w:t xml:space="preserve">[34]al-Hassani, Woodcok and Saoud (2004), 'Muslim Heritage in Our World', FSTC publisinhg, p.38-39.</w:t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  <w:t xml:space="preserve">[35]Terrace, H. (1958) 'Islam d'Espagne' une rencontre de l'Orient et de l'Occident", Librairie Plon, Paris, pp.52-53.</w:t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  <w:t xml:space="preserve">[36] 20.          ^ a b Sertima, Ivan Van (1992), The Golden Age of the Moor, Transaction Publishers, p. 267, ISBN 1560005815</w:t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  <w:t xml:space="preserve">[37] a b Lebling Jr., Robert W. (July-August 2003), "Flight of the Blackbird", Saudi Aramco World: 24-33, &lt;http://www.islamicspain.tv/Arts-and-Science/flight_of_the_blackbird.htm&gt;. Retrieved on 28 January 2008.</w:t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  <w:t xml:space="preserve">[38]a b Sertima, Ivan Van (1992), The Golden Age of the Moor, Transaction Publishers, p. 267, ISBN 1560005815</w:t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  <w:t xml:space="preserve">[39] a b Salma Khadra Jayyusi and Manuela Marin (1994), The Legacy of Muslim Spain, p. 117, Brill Publishers, ISBN 9004095993</w:t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  <w:t xml:space="preserve">[40]a b Lebling Jr., Robert W. (July-August 2003), "Flight of the Blackbird", Saudi Aramco World: 24-33, &lt;http://www.islamicspain.tv/Arts-and-Science/flight_of_the_blackbird.htm&gt;. Retrieved on 28 January 2008.</w:t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  <w:t xml:space="preserve">Источники:</w:t>
      </w:r>
    </w:p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  <w:t xml:space="preserve">1.Ибн Хордадбех. Книга путей и стран. М. 1986.</w:t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  <w:t xml:space="preserve">http://vostlit.narod.ru/Texts/rus2/Hordabeh/pred2.htm</w:t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  <w:t xml:space="preserve">2. Ziryab.http://www.arabicmusic4u.com/zeryab.htm</w:t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  <w:t xml:space="preserve">3 Ziryab.http://guitarra-antiqua.narod.ru/persona/zyriab.html</w:t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  <w:t xml:space="preserve">4.Арабский Уд. Арабский уд – исторический предшественник европейской лютни.</w:t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  <w:t xml:space="preserve">http://guitarists.ru/index.php?option=com_content&amp;task=blogcategory&amp;id=37&amp;Itemid=77</w:t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  <w:t xml:space="preserve">5. Ziryab.http://es.wikipedia.org/wiki/Ziryab</w:t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  <w:t xml:space="preserve">6. Ziryab.http://en.wikipedia.org/wiki/Ziryab</w:t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  <w:t xml:space="preserve">7.Ziryab.http://en.inforapid.org/index.php?search=Ahmed%20Mohammed%20al-Maqqari</w:t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  <w:t xml:space="preserve">8.by G. TALEBZADEH. Zaryâb. A genius Iranian musician.</w:t>
      </w:r>
    </w:p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tl w:val="0"/>
        </w:rPr>
        <w:t xml:space="preserve">http://www.fravahr.org/spip.php?article118</w:t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  <w:t xml:space="preserve">9. Ziryab. http://ru.knowledgr.com/01306483/Ziryab</w:t>
      </w:r>
    </w:p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www.kurdist.ru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